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312" w:afterLines="100" w:line="600" w:lineRule="exact"/>
        <w:ind w:right="-57"/>
        <w:jc w:val="both"/>
        <w:rPr>
          <w:rFonts w:hint="eastAsia" w:ascii="仿宋_GB2312" w:hAnsi="仿宋_GB2312" w:eastAsia="仿宋_GB2312" w:cs="仿宋_GB2312"/>
          <w:b w:val="0"/>
          <w:bCs/>
          <w:color w:val="000000"/>
          <w:spacing w:val="1"/>
          <w:sz w:val="32"/>
          <w:szCs w:val="32"/>
          <w:lang w:val="en-US" w:eastAsia="zh-CN"/>
        </w:rPr>
      </w:pPr>
      <w:r>
        <w:rPr>
          <w:rFonts w:hint="eastAsia" w:ascii="仿宋_GB2312" w:hAnsi="仿宋_GB2312" w:eastAsia="仿宋_GB2312" w:cs="仿宋_GB2312"/>
          <w:b w:val="0"/>
          <w:bCs/>
          <w:color w:val="000000"/>
          <w:spacing w:val="1"/>
          <w:sz w:val="32"/>
          <w:szCs w:val="32"/>
          <w:lang w:val="en-US" w:eastAsia="zh-CN"/>
        </w:rPr>
        <w:t>附件3</w:t>
      </w:r>
    </w:p>
    <w:p>
      <w:pPr>
        <w:ind w:firstLine="361" w:firstLineChars="100"/>
        <w:jc w:val="both"/>
        <w:rPr>
          <w:rFonts w:hint="eastAsia" w:ascii="宋体" w:hAnsi="宋体"/>
          <w:b/>
          <w:bCs/>
          <w:sz w:val="36"/>
          <w:szCs w:val="36"/>
        </w:rPr>
      </w:pPr>
      <w:r>
        <w:rPr>
          <w:rFonts w:hint="eastAsia" w:ascii="宋体" w:hAnsi="宋体"/>
          <w:b/>
          <w:bCs/>
          <w:sz w:val="36"/>
          <w:szCs w:val="36"/>
          <w:lang w:val="en-US" w:eastAsia="zh-CN"/>
        </w:rPr>
        <w:t>2021年度山东省医学会</w:t>
      </w:r>
      <w:r>
        <w:rPr>
          <w:rFonts w:hint="eastAsia" w:ascii="宋体" w:hAnsi="宋体"/>
          <w:b/>
          <w:bCs/>
          <w:sz w:val="36"/>
          <w:szCs w:val="36"/>
        </w:rPr>
        <w:t>碳青霉烯类抗菌药物应用</w:t>
      </w:r>
    </w:p>
    <w:p>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hint="eastAsia" w:ascii="宋体" w:hAnsi="宋体" w:eastAsia="宋体"/>
          <w:b/>
          <w:bCs/>
          <w:sz w:val="36"/>
          <w:szCs w:val="36"/>
          <w:lang w:eastAsia="zh-CN"/>
        </w:rPr>
      </w:pPr>
      <w:r>
        <w:rPr>
          <w:rFonts w:hint="eastAsia" w:ascii="宋体" w:hAnsi="宋体"/>
          <w:b/>
          <w:bCs/>
          <w:sz w:val="36"/>
          <w:szCs w:val="36"/>
        </w:rPr>
        <w:t>与管理</w:t>
      </w:r>
      <w:r>
        <w:rPr>
          <w:rFonts w:hint="eastAsia" w:ascii="宋体" w:hAnsi="宋体"/>
          <w:b/>
          <w:bCs/>
          <w:sz w:val="36"/>
          <w:szCs w:val="36"/>
          <w:lang w:val="en-US" w:eastAsia="zh-CN"/>
        </w:rPr>
        <w:t>科研专项基金</w:t>
      </w:r>
      <w:r>
        <w:rPr>
          <w:rFonts w:hint="eastAsia" w:ascii="宋体" w:hAnsi="宋体"/>
          <w:b/>
          <w:bCs/>
          <w:sz w:val="36"/>
          <w:szCs w:val="36"/>
        </w:rPr>
        <w:t>项目</w:t>
      </w:r>
      <w:r>
        <w:rPr>
          <w:rFonts w:hint="eastAsia" w:ascii="宋体" w:hAnsi="宋体"/>
          <w:b/>
          <w:bCs/>
          <w:sz w:val="36"/>
          <w:szCs w:val="36"/>
          <w:lang w:val="en-US" w:eastAsia="zh-CN"/>
        </w:rPr>
        <w:t>实施</w:t>
      </w:r>
      <w:r>
        <w:rPr>
          <w:rFonts w:hint="eastAsia" w:ascii="宋体" w:hAnsi="宋体"/>
          <w:b/>
          <w:bCs/>
          <w:sz w:val="36"/>
          <w:szCs w:val="36"/>
        </w:rPr>
        <w:t>方案</w:t>
      </w:r>
      <w:r>
        <w:rPr>
          <w:rFonts w:hint="eastAsia" w:ascii="宋体" w:hAnsi="宋体"/>
          <w:b/>
          <w:bCs/>
          <w:sz w:val="36"/>
          <w:szCs w:val="36"/>
          <w:lang w:eastAsia="zh-CN"/>
        </w:rPr>
        <w:t>（</w:t>
      </w:r>
      <w:r>
        <w:rPr>
          <w:rFonts w:hint="eastAsia" w:ascii="宋体" w:hAnsi="宋体"/>
          <w:b/>
          <w:bCs/>
          <w:sz w:val="36"/>
          <w:szCs w:val="36"/>
          <w:lang w:val="en-US" w:eastAsia="zh-CN"/>
        </w:rPr>
        <w:t>拟定</w:t>
      </w:r>
      <w:r>
        <w:rPr>
          <w:rFonts w:hint="eastAsia" w:ascii="宋体" w:hAnsi="宋体"/>
          <w:b/>
          <w:bCs/>
          <w:sz w:val="36"/>
          <w:szCs w:val="36"/>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研究目的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碳青霉烯类药物是目前细菌感染性疾病治疗中抗菌谱广、作用强一类抗菌药物，尤其是对产超广谱 β-内酰胺酶（ESBL）、头孢菌素酶（Ampc）等多重耐药革兰氏阴性肠杆菌杆菌引起的感染具有良好的抗菌活性。但近年来随着广谱碳青酶烯类药物广泛用于临床，在选择性压力下，全国细菌耐药监测数据显示对耐碳青酶烯类肠杆菌科细菌、</w:t>
      </w:r>
      <w:bookmarkStart w:id="0" w:name="_Hlk60034878"/>
      <w:r>
        <w:rPr>
          <w:rFonts w:hint="eastAsia" w:ascii="仿宋_GB2312" w:hAnsi="仿宋_GB2312" w:eastAsia="仿宋_GB2312" w:cs="仿宋_GB2312"/>
          <w:sz w:val="32"/>
          <w:szCs w:val="32"/>
        </w:rPr>
        <w:t>铜绿假单胞菌和鲍曼不动杆菌等多重耐药菌检出率</w:t>
      </w:r>
      <w:bookmarkEnd w:id="0"/>
      <w:r>
        <w:rPr>
          <w:rFonts w:hint="eastAsia" w:ascii="仿宋_GB2312" w:hAnsi="仿宋_GB2312" w:eastAsia="仿宋_GB2312" w:cs="仿宋_GB2312"/>
          <w:sz w:val="32"/>
          <w:szCs w:val="32"/>
        </w:rPr>
        <w:t>和耐药率逐年上升，导致临床治疗失败，严重威胁了患者的生命安全。</w:t>
      </w:r>
      <w:r>
        <w:rPr>
          <w:rFonts w:hint="eastAsia" w:ascii="仿宋_GB2312" w:hAnsi="仿宋_GB2312" w:eastAsia="仿宋_GB2312" w:cs="仿宋_GB2312"/>
          <w:bCs/>
          <w:sz w:val="32"/>
          <w:szCs w:val="32"/>
        </w:rPr>
        <w:t>本课题的研究目的是评估在窄谱碳青酶烯类药物（对非发酵菌无作用的</w:t>
      </w:r>
      <w:r>
        <w:rPr>
          <w:rFonts w:hint="eastAsia" w:ascii="仿宋_GB2312" w:hAnsi="仿宋_GB2312" w:eastAsia="仿宋_GB2312" w:cs="仿宋_GB2312"/>
          <w:bCs/>
          <w:sz w:val="32"/>
          <w:szCs w:val="32"/>
          <w:lang w:eastAsia="zh-CN"/>
        </w:rPr>
        <w:t>厄</w:t>
      </w:r>
      <w:bookmarkStart w:id="3" w:name="_GoBack"/>
      <w:bookmarkEnd w:id="3"/>
      <w:r>
        <w:rPr>
          <w:rFonts w:hint="eastAsia" w:ascii="仿宋_GB2312" w:hAnsi="仿宋_GB2312" w:eastAsia="仿宋_GB2312" w:cs="仿宋_GB2312"/>
          <w:bCs/>
          <w:sz w:val="32"/>
          <w:szCs w:val="32"/>
        </w:rPr>
        <w:t>他培南）纳入医院处方集后，探索医疗机构通过相关制度制定与管理措施落实，建立符合临床需求导向的优化抗菌药物管理的模式及对细菌耐药环境的影响。</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黑体" w:hAnsi="黑体" w:eastAsia="黑体" w:cs="黑体"/>
          <w:bCs/>
          <w:sz w:val="32"/>
          <w:szCs w:val="32"/>
        </w:rPr>
      </w:pPr>
      <w:r>
        <w:rPr>
          <w:rFonts w:hint="eastAsia" w:ascii="黑体" w:hAnsi="黑体" w:eastAsia="黑体" w:cs="黑体"/>
          <w:b/>
          <w:sz w:val="32"/>
          <w:szCs w:val="32"/>
        </w:rPr>
        <w:t>二、研究方案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课题组在课题开题后收集统计各分中心与课题研究相关数据，如各分中心所在医院现阶段抗菌药物应用具体数据、微生物监测相关数据，并做相关统计学处理；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bookmarkStart w:id="1" w:name="_Hlk60148360"/>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课题组开题后3个月内依据国家政策和相关诊疗规范、指南，围绕碳青霉烯类药物临床应用与管理全过程制定统一的管理制度与实施细则、临床应用评价标准与具体干预措施、药物经济学评价指标等；</w:t>
      </w:r>
    </w:p>
    <w:bookmarkEnd w:id="1"/>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课题组建立统一交流平台，针对研究进行中出现的问题进行讨论，必要时召开线上或线下会议进行专题讨论解决；</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课题开题9个月组织1次研究讨论会议进行阶段总结，针对研究中出现的共性问题，修订调整技术路线；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课题进行15个月后收集各研究分中心相关研究数据进行数据处理分析；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bookmarkStart w:id="2" w:name="_Hlk60149997"/>
      <w:r>
        <w:rPr>
          <w:rFonts w:hint="eastAsia" w:ascii="仿宋_GB2312" w:hAnsi="仿宋_GB2312" w:eastAsia="仿宋_GB2312" w:cs="仿宋_GB2312"/>
          <w:sz w:val="32"/>
          <w:szCs w:val="32"/>
        </w:rPr>
        <w:t>6</w:t>
      </w:r>
      <w:bookmarkEnd w:id="2"/>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课题进行18个月后进行课题结题总结书写、论文撰写投稿发表。</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黑体" w:hAnsi="黑体" w:eastAsia="黑体" w:cs="黑体"/>
          <w:b/>
          <w:bCs/>
          <w:sz w:val="32"/>
          <w:szCs w:val="32"/>
        </w:rPr>
        <w:t>三、 期望实现研究的结果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通过本项目研究，各参研医院碳</w:t>
      </w:r>
      <w:r>
        <w:rPr>
          <w:rFonts w:hint="eastAsia" w:ascii="仿宋_GB2312" w:hAnsi="仿宋_GB2312" w:eastAsia="仿宋_GB2312" w:cs="仿宋_GB2312"/>
          <w:bCs/>
          <w:sz w:val="32"/>
          <w:szCs w:val="32"/>
          <w:lang w:val="en-US" w:eastAsia="zh-CN"/>
        </w:rPr>
        <w:t>青</w:t>
      </w:r>
      <w:r>
        <w:rPr>
          <w:rFonts w:hint="eastAsia" w:ascii="仿宋_GB2312" w:hAnsi="仿宋_GB2312" w:eastAsia="仿宋_GB2312" w:cs="仿宋_GB2312"/>
          <w:bCs/>
          <w:sz w:val="32"/>
          <w:szCs w:val="32"/>
        </w:rPr>
        <w:t>霉烯类药物结构合理，符合临床治疗需求，建立窄谱与广谱碳青霉烯类抗菌药物临床应用细则与评价标准，减低广谱碳青酶烯类物使用率与使用强度，降低耐药非发酵菌院内检出率及感染率，减低碳</w:t>
      </w:r>
      <w:r>
        <w:rPr>
          <w:rFonts w:hint="eastAsia" w:ascii="仿宋_GB2312" w:hAnsi="仿宋_GB2312" w:eastAsia="仿宋_GB2312" w:cs="仿宋_GB2312"/>
          <w:bCs/>
          <w:sz w:val="32"/>
          <w:szCs w:val="32"/>
          <w:lang w:val="en-US" w:eastAsia="zh-CN"/>
        </w:rPr>
        <w:t>青</w:t>
      </w:r>
      <w:r>
        <w:rPr>
          <w:rFonts w:hint="eastAsia" w:ascii="仿宋_GB2312" w:hAnsi="仿宋_GB2312" w:eastAsia="仿宋_GB2312" w:cs="仿宋_GB2312"/>
          <w:bCs/>
          <w:sz w:val="32"/>
          <w:szCs w:val="32"/>
        </w:rPr>
        <w:t>霉烯类用药的医疗支出，建立符合医疗机构需求的抗菌药物优化管理模式在全省推广，从而提升山东省医疗机构临床药物治疗水平，在保障医疗质量和患者用药安全有效的前提下节约有限的医疗资源。</w:t>
      </w:r>
      <w:r>
        <w:rPr>
          <w:rFonts w:hint="eastAsia" w:ascii="仿宋_GB2312" w:hAnsi="仿宋_GB2312" w:eastAsia="仿宋_GB2312" w:cs="仿宋_GB2312"/>
          <w:b/>
          <w:bCs/>
          <w:sz w:val="32"/>
          <w:szCs w:val="32"/>
        </w:rPr>
        <w:t xml:space="preserve">                         </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73240A"/>
    <w:multiLevelType w:val="singleLevel"/>
    <w:tmpl w:val="F673240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7B4CC3"/>
    <w:rsid w:val="00002CAD"/>
    <w:rsid w:val="00031CBA"/>
    <w:rsid w:val="000F71FB"/>
    <w:rsid w:val="001700B0"/>
    <w:rsid w:val="0018573C"/>
    <w:rsid w:val="003C5D99"/>
    <w:rsid w:val="003F3B80"/>
    <w:rsid w:val="0043008B"/>
    <w:rsid w:val="00474D70"/>
    <w:rsid w:val="004C4A2E"/>
    <w:rsid w:val="005228C7"/>
    <w:rsid w:val="00571276"/>
    <w:rsid w:val="00571625"/>
    <w:rsid w:val="005A6D13"/>
    <w:rsid w:val="00652356"/>
    <w:rsid w:val="00656418"/>
    <w:rsid w:val="00683A14"/>
    <w:rsid w:val="006B1B67"/>
    <w:rsid w:val="006C4B48"/>
    <w:rsid w:val="00704AF9"/>
    <w:rsid w:val="007B41AE"/>
    <w:rsid w:val="007B4CC3"/>
    <w:rsid w:val="007D3C19"/>
    <w:rsid w:val="00831E28"/>
    <w:rsid w:val="00905F74"/>
    <w:rsid w:val="00973E79"/>
    <w:rsid w:val="00987E4B"/>
    <w:rsid w:val="009A72A9"/>
    <w:rsid w:val="009C285F"/>
    <w:rsid w:val="00A15358"/>
    <w:rsid w:val="00A8195A"/>
    <w:rsid w:val="00AD2927"/>
    <w:rsid w:val="00AF1411"/>
    <w:rsid w:val="00B85A85"/>
    <w:rsid w:val="00BF071D"/>
    <w:rsid w:val="00C738FD"/>
    <w:rsid w:val="00CC36E7"/>
    <w:rsid w:val="00D04690"/>
    <w:rsid w:val="00D672D4"/>
    <w:rsid w:val="00D83F33"/>
    <w:rsid w:val="00DA1A90"/>
    <w:rsid w:val="00E37B3F"/>
    <w:rsid w:val="00EE73EB"/>
    <w:rsid w:val="00F0666D"/>
    <w:rsid w:val="00F133E5"/>
    <w:rsid w:val="00F4681F"/>
    <w:rsid w:val="00FA219F"/>
    <w:rsid w:val="03AF3834"/>
    <w:rsid w:val="0DB75993"/>
    <w:rsid w:val="376946B7"/>
    <w:rsid w:val="3DC02058"/>
    <w:rsid w:val="61C8316C"/>
  </w:rsids>
  <m:mathPr>
    <m:lMargin m:val="0"/>
    <m:mathFont m:val="Cambria Math"/>
    <m:rMargin m:val="0"/>
    <m:wrapIndent m:val="1440"/>
    <m:brkBin m:val="before"/>
    <m:brkBinSub m:val="--"/>
    <m:defJc m:val="centerGroup"/>
    <m:intLim m:val="subSup"/>
    <m:naryLim m:val="undOvr"/>
    <m:smallFrac m:val="1"/>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link w:val="3"/>
    <w:uiPriority w:val="99"/>
    <w:rPr>
      <w:kern w:val="2"/>
      <w:sz w:val="18"/>
      <w:szCs w:val="18"/>
    </w:rPr>
  </w:style>
  <w:style w:type="character" w:customStyle="1" w:styleId="7">
    <w:name w:val="页脚 字符"/>
    <w:link w:val="2"/>
    <w:qFormat/>
    <w:uiPriority w:val="99"/>
    <w:rPr>
      <w:kern w:val="2"/>
      <w:sz w:val="18"/>
      <w:szCs w:val="18"/>
    </w:rPr>
  </w:style>
  <w:style w:type="paragraph" w:customStyle="1"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C4C351-74C2-4000-8396-F98A41FF7BB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2</Pages>
  <Words>136</Words>
  <Characters>776</Characters>
  <Lines>6</Lines>
  <Paragraphs>1</Paragraphs>
  <ScaleCrop>false</ScaleCrop>
  <LinksUpToDate>false</LinksUpToDate>
  <CharactersWithSpaces>911</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2020-12-29T08:01:00Z</dcterms:created>
  <dc:creator>王井</dc:creator>
  <cp:lastModifiedBy>JonMMx 2000</cp:lastModifiedBy>
  <dcterms:modified xsi:type="dcterms:W3CDTF">2021-01-05T14:25:06Z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