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_GB2312" w:hAnsi="仿宋_GB2312" w:eastAsia="仿宋_GB2312" w:cs="仿宋_GB2312"/>
          <w:sz w:val="32"/>
          <w:szCs w:val="36"/>
        </w:rPr>
      </w:pPr>
      <w:r>
        <w:rPr>
          <w:rFonts w:hint="eastAsia" w:ascii="仿宋_GB2312" w:hAnsi="仿宋_GB2312" w:eastAsia="仿宋_GB2312" w:cs="仿宋_GB2312"/>
          <w:sz w:val="32"/>
          <w:szCs w:val="36"/>
        </w:rPr>
        <w:t>附件1</w:t>
      </w:r>
    </w:p>
    <w:p>
      <w:pPr>
        <w:spacing w:after="312" w:afterLines="100"/>
        <w:jc w:val="center"/>
        <w:rPr>
          <w:rFonts w:ascii="宋体" w:hAnsi="宋体" w:eastAsia="宋体"/>
          <w:b/>
          <w:bCs/>
          <w:sz w:val="44"/>
          <w:szCs w:val="48"/>
        </w:rPr>
      </w:pPr>
      <w:r>
        <w:rPr>
          <w:rFonts w:hint="eastAsia" w:ascii="宋体" w:hAnsi="宋体" w:eastAsia="宋体"/>
          <w:b/>
          <w:bCs/>
          <w:sz w:val="44"/>
          <w:szCs w:val="48"/>
        </w:rPr>
        <w:t>山东省医学会有组织科研工作实施方案</w:t>
      </w:r>
    </w:p>
    <w:p>
      <w:pPr>
        <w:ind w:firstLine="640" w:firstLineChars="200"/>
        <w:rPr>
          <w:rFonts w:ascii="仿宋_GB2312" w:hAnsi="仿宋_GB2312" w:eastAsia="仿宋_GB2312" w:cs="仿宋_GB2312"/>
          <w:color w:val="000000"/>
          <w:kern w:val="0"/>
          <w:sz w:val="32"/>
          <w:szCs w:val="32"/>
          <w:lang w:bidi="ar"/>
        </w:rPr>
      </w:pPr>
      <w:r>
        <w:rPr>
          <w:rFonts w:hint="eastAsia" w:ascii="仿宋_GB2312" w:hAnsi="宋体" w:eastAsia="仿宋_GB2312"/>
          <w:sz w:val="32"/>
          <w:szCs w:val="32"/>
        </w:rPr>
        <w:t>为贯彻党的二十大精神和省卫生健康委“十四五”重点工作规划，落实学会第十五届理事会相关工作部署和要求，结合我省实际，学会拟每年围绕人民群众和社会广泛关注的健康问题，选定若干方向，统筹资源，开展有组织的科研工作。为做好2023年有组织的科研工作，制定如下实施方案：</w:t>
      </w:r>
    </w:p>
    <w:p>
      <w:pPr>
        <w:numPr>
          <w:ilvl w:val="0"/>
          <w:numId w:val="1"/>
        </w:numPr>
        <w:ind w:firstLine="640" w:firstLineChars="200"/>
        <w:rPr>
          <w:rFonts w:ascii="黑体" w:hAnsi="黑体" w:eastAsia="黑体" w:cs="黑体"/>
          <w:color w:val="000000"/>
          <w:kern w:val="0"/>
          <w:sz w:val="32"/>
          <w:szCs w:val="32"/>
          <w:lang w:bidi="ar"/>
        </w:rPr>
      </w:pPr>
      <w:r>
        <w:rPr>
          <w:rFonts w:hint="eastAsia" w:ascii="黑体" w:hAnsi="黑体" w:eastAsia="黑体" w:cs="黑体"/>
          <w:color w:val="000000"/>
          <w:kern w:val="0"/>
          <w:sz w:val="32"/>
          <w:szCs w:val="32"/>
          <w:lang w:bidi="ar"/>
        </w:rPr>
        <w:t>指导思想</w:t>
      </w:r>
    </w:p>
    <w:p>
      <w:pPr>
        <w:spacing w:line="360" w:lineRule="auto"/>
        <w:ind w:firstLine="640" w:firstLineChars="200"/>
        <w:rPr>
          <w:rFonts w:ascii="黑体" w:hAnsi="黑体" w:eastAsia="黑体" w:cs="黑体"/>
          <w:color w:val="000000"/>
          <w:kern w:val="0"/>
          <w:sz w:val="32"/>
          <w:szCs w:val="32"/>
          <w:lang w:bidi="ar"/>
        </w:rPr>
      </w:pPr>
      <w:r>
        <w:rPr>
          <w:rFonts w:hint="eastAsia" w:ascii="仿宋_GB2312" w:hAnsi="宋体" w:eastAsia="仿宋_GB2312"/>
          <w:sz w:val="32"/>
          <w:szCs w:val="32"/>
        </w:rPr>
        <w:t>以习近平新时代中国特色社会主义思想为指导，贯彻执行科学技术现代化、国家发展科学研究工作方针和卫生工作四大方针，推进医疗服务从“以治病为中心”向“以人民健康为中心”转变。以需求和问题为导向，以基线调研为主要方式，切实弄清现状和底数，分析可能原因，提出解决问题或改进工作的对策方案。充分发挥好省医学会的“参谋助手”作用，为党和政府的决策服务，为“健康山东”建设贡献力量。</w:t>
      </w:r>
    </w:p>
    <w:p>
      <w:pPr>
        <w:numPr>
          <w:ilvl w:val="0"/>
          <w:numId w:val="2"/>
        </w:numPr>
        <w:spacing w:line="360" w:lineRule="auto"/>
        <w:ind w:firstLine="640" w:firstLineChars="200"/>
        <w:rPr>
          <w:rFonts w:ascii="黑体" w:hAnsi="黑体" w:eastAsia="黑体"/>
          <w:sz w:val="32"/>
          <w:szCs w:val="32"/>
        </w:rPr>
      </w:pPr>
      <w:r>
        <w:rPr>
          <w:rFonts w:hint="eastAsia" w:ascii="黑体" w:hAnsi="黑体" w:eastAsia="黑体"/>
          <w:sz w:val="32"/>
          <w:szCs w:val="32"/>
        </w:rPr>
        <w:t>实施步骤</w:t>
      </w:r>
    </w:p>
    <w:p>
      <w:pPr>
        <w:spacing w:line="360" w:lineRule="auto"/>
        <w:ind w:firstLine="640" w:firstLineChars="200"/>
        <w:rPr>
          <w:rFonts w:ascii="黑体" w:hAnsi="黑体" w:eastAsia="黑体"/>
          <w:sz w:val="32"/>
          <w:szCs w:val="32"/>
        </w:rPr>
      </w:pPr>
      <w:r>
        <w:rPr>
          <w:rFonts w:hint="eastAsia" w:ascii="仿宋_GB2312" w:hAnsi="宋体" w:eastAsia="仿宋_GB2312"/>
          <w:sz w:val="32"/>
          <w:szCs w:val="32"/>
        </w:rPr>
        <w:t>主要包括选题确认、通知发布、承办单位申报、项目公示、合同签订、项目成果展示等环节。</w:t>
      </w:r>
    </w:p>
    <w:p>
      <w:pPr>
        <w:numPr>
          <w:ilvl w:val="0"/>
          <w:numId w:val="3"/>
        </w:num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选题确认。</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组织召开专家论证会，提出有组织科研项目选题方向，并经常务理事会审议通过。</w:t>
      </w:r>
    </w:p>
    <w:p>
      <w:pPr>
        <w:numPr>
          <w:ilvl w:val="0"/>
          <w:numId w:val="3"/>
        </w:num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 xml:space="preserve">项目发布与申报。 </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学会发布通知，在全省范围内面向单位会员公开招募项目承办单位，同一研究方向最多两家单位共同承办。意向承办单位应提交书面申报材料，明确研究依据、研究内容、研究方法、研究进度、课题组成员、预期成果及形式等。</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承办单位条件如下：</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1.山东省医学会单位会员；有承担并主持项目的科研能力和工作经验；具备开展项目的良好科研条件和专业队伍。</w:t>
      </w:r>
    </w:p>
    <w:p>
      <w:pPr>
        <w:pStyle w:val="9"/>
        <w:widowControl/>
        <w:spacing w:beforeAutospacing="0" w:afterAutospacing="0" w:line="360" w:lineRule="auto"/>
        <w:ind w:firstLine="640" w:firstLineChars="200"/>
        <w:rPr>
          <w:rFonts w:ascii="仿宋_GB2312" w:hAnsi="宋体" w:eastAsia="仿宋_GB2312" w:cstheme="minorBidi"/>
          <w:kern w:val="2"/>
          <w:sz w:val="32"/>
          <w:szCs w:val="32"/>
        </w:rPr>
      </w:pPr>
      <w:r>
        <w:rPr>
          <w:rFonts w:hint="eastAsia" w:ascii="仿宋_GB2312" w:hAnsi="宋体" w:eastAsia="仿宋_GB2312" w:cstheme="minorBidi"/>
          <w:kern w:val="2"/>
          <w:sz w:val="32"/>
          <w:szCs w:val="32"/>
        </w:rPr>
        <w:t>2.实行项目负责人负责制。项目负责人必须是该项目研究思路的主要提出者和研究工作实际主持人，对项目研究工作、项目经费使用以及项目研究成果承担全部责任。项目申报时必须确定项目负责人和主要研究人员，未经批准，不得随意变更。</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（三）项目评审。</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学会对申报材料进行形式审查，组织相关专家对符合要求的申报材料进行评审，并同时听取项目负责人答辩。根据材料和答辩情况综合确定每个研究方向的承办单位。评审结果在学会官网公示5个工作日。</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（四）合同签订。</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对公示无异议的项目，学会将及时与各承办单位联系对接，进一步完善项目工作方案和技术路线，按照有关法律法规要求签订《科研项目合同书》，约定项目内容、周期、知识产权、资金拨付等事项。</w:t>
      </w:r>
    </w:p>
    <w:p>
      <w:pPr>
        <w:numPr>
          <w:ilvl w:val="0"/>
          <w:numId w:val="4"/>
        </w:numPr>
        <w:spacing w:line="540" w:lineRule="exact"/>
        <w:ind w:firstLine="640" w:firstLineChars="200"/>
        <w:rPr>
          <w:rFonts w:ascii="仿宋_GB2312" w:hAnsi="宋体" w:eastAsia="仿宋_GB2312"/>
          <w:sz w:val="32"/>
          <w:szCs w:val="32"/>
        </w:rPr>
      </w:pPr>
      <w:r>
        <w:rPr>
          <w:rFonts w:hint="eastAsia" w:ascii="仿宋_GB2312" w:hAnsi="宋体" w:eastAsia="仿宋_GB2312"/>
          <w:sz w:val="32"/>
          <w:szCs w:val="32"/>
        </w:rPr>
        <w:t>项目管理。</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学会负责项目的监督与管理，项目实施周期按照合同约定，原则上不超过两年。项目期满后，学会组织有关专家进行项目验收。因不可抗力无法在周期内完成任务的，应及时向学会提出书面申请，经同意后，可适当延期。</w:t>
      </w:r>
    </w:p>
    <w:p>
      <w:pPr>
        <w:spacing w:line="360" w:lineRule="auto"/>
        <w:ind w:firstLine="640" w:firstLineChars="200"/>
        <w:rPr>
          <w:rFonts w:ascii="黑体" w:hAnsi="黑体" w:eastAsia="黑体"/>
          <w:sz w:val="32"/>
          <w:szCs w:val="32"/>
        </w:rPr>
      </w:pPr>
      <w:r>
        <w:rPr>
          <w:rFonts w:hint="eastAsia" w:ascii="黑体" w:hAnsi="黑体" w:eastAsia="黑体"/>
          <w:sz w:val="32"/>
          <w:szCs w:val="32"/>
        </w:rPr>
        <w:t xml:space="preserve">三、预期成果   </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承办单位应在实施周期内围绕本方向主题，拟定切实可行的流调与科研工作目标和时间计划，</w:t>
      </w:r>
      <w:r>
        <w:rPr>
          <w:rFonts w:ascii="仿宋_GB2312" w:hAnsi="宋体" w:eastAsia="仿宋_GB2312"/>
          <w:sz w:val="32"/>
          <w:szCs w:val="32"/>
        </w:rPr>
        <w:t>以流行病学调查为基础开展科研活动</w:t>
      </w:r>
      <w:r>
        <w:rPr>
          <w:rFonts w:hint="eastAsia" w:ascii="仿宋_GB2312" w:hAnsi="宋体" w:eastAsia="仿宋_GB2312"/>
          <w:sz w:val="32"/>
          <w:szCs w:val="32"/>
        </w:rPr>
        <w:t>，形成科研成果，包括不限于：</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（一）形成高质量研究成果；</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（二）召开高峰学术论坛（含病例比赛等）；</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（三）形成一批健康科普资源；</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（四）培养一批青年人才。</w:t>
      </w:r>
    </w:p>
    <w:p>
      <w:pPr>
        <w:spacing w:line="360" w:lineRule="auto"/>
        <w:ind w:firstLine="640" w:firstLineChars="200"/>
        <w:rPr>
          <w:rFonts w:ascii="黑体" w:hAnsi="黑体" w:eastAsia="黑体"/>
          <w:sz w:val="32"/>
          <w:szCs w:val="32"/>
        </w:rPr>
      </w:pPr>
      <w:r>
        <w:rPr>
          <w:rFonts w:hint="eastAsia" w:ascii="黑体" w:hAnsi="黑体" w:eastAsia="黑体"/>
          <w:sz w:val="32"/>
          <w:szCs w:val="32"/>
        </w:rPr>
        <w:t>四、首批项目研究方向</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经专家论证，2023年度山东省医学会首批有组织科研工作拟设置生殖健康、儿童青少年心理健康、骨健康、药物不良反应4个研究方向。</w:t>
      </w:r>
    </w:p>
    <w:p>
      <w:pPr>
        <w:numPr>
          <w:ilvl w:val="0"/>
          <w:numId w:val="5"/>
        </w:num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生殖健康。</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近年来中国生育率持续走低，</w:t>
      </w:r>
      <w:r>
        <w:rPr>
          <w:rFonts w:ascii="仿宋_GB2312" w:hAnsi="宋体" w:eastAsia="仿宋_GB2312"/>
          <w:sz w:val="32"/>
          <w:szCs w:val="32"/>
        </w:rPr>
        <w:t>根据山东省统计局数据</w:t>
      </w:r>
      <w:r>
        <w:rPr>
          <w:rFonts w:hint="eastAsia" w:ascii="仿宋_GB2312" w:hAnsi="宋体" w:eastAsia="仿宋_GB2312"/>
          <w:sz w:val="32"/>
          <w:szCs w:val="32"/>
        </w:rPr>
        <w:t>，</w:t>
      </w:r>
      <w:r>
        <w:rPr>
          <w:rFonts w:ascii="仿宋_GB2312" w:hAnsi="宋体" w:eastAsia="仿宋_GB2312"/>
          <w:sz w:val="32"/>
          <w:szCs w:val="32"/>
        </w:rPr>
        <w:t>出生人口数量由2017年的174.98万跌至2022年的68.22万</w:t>
      </w:r>
      <w:r>
        <w:rPr>
          <w:rFonts w:hint="eastAsia" w:ascii="仿宋_GB2312" w:hAnsi="宋体" w:eastAsia="仿宋_GB2312"/>
          <w:sz w:val="32"/>
          <w:szCs w:val="32"/>
        </w:rPr>
        <w:t>。本方向主要围绕省内育龄人口生育现状及生育支持政策开展调查研究。</w:t>
      </w:r>
    </w:p>
    <w:p>
      <w:pPr>
        <w:numPr>
          <w:ilvl w:val="0"/>
          <w:numId w:val="5"/>
        </w:num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儿童青少年心理健康。</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国家高度重视儿童青少年心理健康，列为健康中国行动的重要内容。当前，儿童青少年心理行为问题发生率和精神障碍患病率逐渐上升，已成为重要公共卫生问题。本方向主要围绕我省儿童青少年心理健康问题现状及防治对策开展调查研究。</w:t>
      </w:r>
    </w:p>
    <w:p>
      <w:pPr>
        <w:numPr>
          <w:ilvl w:val="0"/>
          <w:numId w:val="5"/>
        </w:num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骨健康。</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随着我国人口老龄化加剧，骨质疏松症患病率快速攀升，已成为重要的公共健康问题。山东省60岁以上老年人口占总人口的20.9%，高于全国平均水平。骨质疏松症给老年人的健康和社会的经济带来巨大的负担。本研究方向主要围绕我省骨质疏松症现状及防治对策开展调查研究。</w:t>
      </w:r>
    </w:p>
    <w:p>
      <w:pPr>
        <w:numPr>
          <w:ilvl w:val="0"/>
          <w:numId w:val="5"/>
        </w:num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药物不良反应。</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据不完全统计，我国每年药物不良反应报告例数达202.3万(国家药品不良反应监测年度报告-2022)，因药物不良反应导致的死亡人数超20万，是当前人类的第五大死亡原因。本方向主要围绕我省药物不良反应现状及防治对策开展调查研究。</w:t>
      </w:r>
    </w:p>
    <w:p>
      <w:pPr>
        <w:spacing w:line="360" w:lineRule="auto"/>
        <w:ind w:firstLine="640" w:firstLineChars="200"/>
        <w:rPr>
          <w:rFonts w:ascii="黑体" w:hAnsi="黑体" w:eastAsia="黑体"/>
          <w:sz w:val="32"/>
          <w:szCs w:val="32"/>
        </w:rPr>
      </w:pPr>
      <w:r>
        <w:rPr>
          <w:rFonts w:hint="eastAsia" w:ascii="黑体" w:hAnsi="黑体" w:eastAsia="黑体"/>
          <w:sz w:val="32"/>
          <w:szCs w:val="32"/>
        </w:rPr>
        <w:t>五、经费来源与资金管理</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（一）资金来源：</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1.每个项目学会提供10万元经费支持；</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2.通过招商等争取企业等社会资金支持；</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3.承办单位承诺不低于前两项支持资金之和的配套资金。</w:t>
      </w:r>
    </w:p>
    <w:p>
      <w:pPr>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（二）经费拨付和资金管理</w:t>
      </w:r>
    </w:p>
    <w:p>
      <w:pPr>
        <w:pStyle w:val="9"/>
        <w:widowControl/>
        <w:spacing w:beforeAutospacing="0" w:afterAutospacing="0"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科研项目合同书签订后，学会将拨付支持资金的70%至承办单位。其他经费根据项目进度按项目合同书约定支付。经费由项目承办单位全权负责管理，经费用途包括材料费、差旅/会议/劳务费、专家咨询费、出版/文献/信息传播、承办单位管理费、税费及其他合理支出。项目经费的使用规范性和合理性纳入科研诚信管理，接受有关部门的审计和监督。</w:t>
      </w:r>
    </w:p>
    <w:p>
      <w:bookmarkStart w:id="0" w:name="_GoBack"/>
      <w:bookmarkEnd w:id="0"/>
    </w:p>
    <w:sectPr>
      <w:footerReference r:id="rId3" w:type="default"/>
      <w:pgSz w:w="11906" w:h="16838"/>
      <w:pgMar w:top="1587" w:right="1588" w:bottom="1587" w:left="1588" w:header="851" w:footer="992" w:gutter="0"/>
      <w:pgNumType w:fmt="numberInDash"/>
      <w:cols w:space="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0000000000000000000"/>
    <w:charset w:val="86"/>
    <w:family w:val="modern"/>
    <w:pitch w:val="default"/>
    <w:sig w:usb0="00000000" w:usb1="00000000" w:usb2="00000000" w:usb3="00000000" w:csb0="00040000" w:csb1="00000000"/>
  </w:font>
  <w:font w:name="Arial">
    <w:panose1 w:val="020B0604020202020204"/>
    <w:charset w:val="00"/>
    <w:family w:val="swiss"/>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ascii="Times New Roman" w:hAnsi="Times New Roman" w:cs="Times New Roman"/>
        <w:sz w:val="24"/>
        <w:szCs w:val="40"/>
      </w:rPr>
    </w:pPr>
    <w:r>
      <w:rPr>
        <w:rFonts w:ascii="Times New Roman" w:hAnsi="Times New Roman" w:cs="Times New Roman"/>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Times New Roman" w:hAnsi="Times New Roman" w:cs="Times New Roman"/>
                            </w:rPr>
                          </w:pPr>
                          <w:r>
                            <w:rPr>
                              <w:rFonts w:ascii="Times New Roman" w:hAnsi="Times New Roman" w:cs="Times New Roman"/>
                              <w:sz w:val="28"/>
                              <w:szCs w:val="36"/>
                            </w:rPr>
                            <w:fldChar w:fldCharType="begin"/>
                          </w:r>
                          <w:r>
                            <w:rPr>
                              <w:rFonts w:ascii="Times New Roman" w:hAnsi="Times New Roman" w:cs="Times New Roman"/>
                              <w:sz w:val="28"/>
                              <w:szCs w:val="36"/>
                            </w:rPr>
                            <w:instrText xml:space="preserve"> PAGE  \* MERGEFORMAT </w:instrText>
                          </w:r>
                          <w:r>
                            <w:rPr>
                              <w:rFonts w:ascii="Times New Roman" w:hAnsi="Times New Roman" w:cs="Times New Roman"/>
                              <w:sz w:val="28"/>
                              <w:szCs w:val="36"/>
                            </w:rPr>
                            <w:fldChar w:fldCharType="separate"/>
                          </w:r>
                          <w:r>
                            <w:rPr>
                              <w:rFonts w:ascii="Times New Roman" w:hAnsi="Times New Roman" w:cs="Times New Roman"/>
                              <w:sz w:val="28"/>
                              <w:szCs w:val="36"/>
                            </w:rPr>
                            <w:t>- 1 -</w:t>
                          </w:r>
                          <w:r>
                            <w:rPr>
                              <w:rFonts w:ascii="Times New Roman" w:hAnsi="Times New Roman" w:cs="Times New Roman"/>
                              <w:sz w:val="28"/>
                              <w:szCs w:val="36"/>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rPr>
                        <w:rFonts w:ascii="Times New Roman" w:hAnsi="Times New Roman" w:cs="Times New Roman"/>
                      </w:rPr>
                    </w:pPr>
                    <w:r>
                      <w:rPr>
                        <w:rFonts w:ascii="Times New Roman" w:hAnsi="Times New Roman" w:cs="Times New Roman"/>
                        <w:sz w:val="28"/>
                        <w:szCs w:val="36"/>
                      </w:rPr>
                      <w:fldChar w:fldCharType="begin"/>
                    </w:r>
                    <w:r>
                      <w:rPr>
                        <w:rFonts w:ascii="Times New Roman" w:hAnsi="Times New Roman" w:cs="Times New Roman"/>
                        <w:sz w:val="28"/>
                        <w:szCs w:val="36"/>
                      </w:rPr>
                      <w:instrText xml:space="preserve"> PAGE  \* MERGEFORMAT </w:instrText>
                    </w:r>
                    <w:r>
                      <w:rPr>
                        <w:rFonts w:ascii="Times New Roman" w:hAnsi="Times New Roman" w:cs="Times New Roman"/>
                        <w:sz w:val="28"/>
                        <w:szCs w:val="36"/>
                      </w:rPr>
                      <w:fldChar w:fldCharType="separate"/>
                    </w:r>
                    <w:r>
                      <w:rPr>
                        <w:rFonts w:ascii="Times New Roman" w:hAnsi="Times New Roman" w:cs="Times New Roman"/>
                        <w:sz w:val="28"/>
                        <w:szCs w:val="36"/>
                      </w:rPr>
                      <w:t>- 1 -</w:t>
                    </w:r>
                    <w:r>
                      <w:rPr>
                        <w:rFonts w:ascii="Times New Roman" w:hAnsi="Times New Roman" w:cs="Times New Roman"/>
                        <w:sz w:val="28"/>
                        <w:szCs w:val="36"/>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7AA1DD"/>
    <w:multiLevelType w:val="singleLevel"/>
    <w:tmpl w:val="C07AA1DD"/>
    <w:lvl w:ilvl="0" w:tentative="0">
      <w:start w:val="1"/>
      <w:numFmt w:val="chineseCounting"/>
      <w:suff w:val="nothing"/>
      <w:lvlText w:val="%1、"/>
      <w:lvlJc w:val="left"/>
      <w:rPr>
        <w:rFonts w:hint="eastAsia"/>
      </w:rPr>
    </w:lvl>
  </w:abstractNum>
  <w:abstractNum w:abstractNumId="1">
    <w:nsid w:val="2C511772"/>
    <w:multiLevelType w:val="singleLevel"/>
    <w:tmpl w:val="2C511772"/>
    <w:lvl w:ilvl="0" w:tentative="0">
      <w:start w:val="1"/>
      <w:numFmt w:val="chineseCounting"/>
      <w:suff w:val="nothing"/>
      <w:lvlText w:val="（%1）"/>
      <w:lvlJc w:val="left"/>
      <w:rPr>
        <w:rFonts w:hint="eastAsia"/>
      </w:rPr>
    </w:lvl>
  </w:abstractNum>
  <w:abstractNum w:abstractNumId="2">
    <w:nsid w:val="3E2E1873"/>
    <w:multiLevelType w:val="singleLevel"/>
    <w:tmpl w:val="3E2E1873"/>
    <w:lvl w:ilvl="0" w:tentative="0">
      <w:start w:val="2"/>
      <w:numFmt w:val="chineseCounting"/>
      <w:suff w:val="nothing"/>
      <w:lvlText w:val="%1、"/>
      <w:lvlJc w:val="left"/>
      <w:rPr>
        <w:rFonts w:hint="eastAsia"/>
      </w:rPr>
    </w:lvl>
  </w:abstractNum>
  <w:abstractNum w:abstractNumId="3">
    <w:nsid w:val="5010E8CA"/>
    <w:multiLevelType w:val="singleLevel"/>
    <w:tmpl w:val="5010E8CA"/>
    <w:lvl w:ilvl="0" w:tentative="0">
      <w:start w:val="1"/>
      <w:numFmt w:val="chineseCounting"/>
      <w:suff w:val="nothing"/>
      <w:lvlText w:val="（%1）"/>
      <w:lvlJc w:val="left"/>
      <w:rPr>
        <w:rFonts w:hint="eastAsia"/>
      </w:rPr>
    </w:lvl>
  </w:abstractNum>
  <w:abstractNum w:abstractNumId="4">
    <w:nsid w:val="6F57657C"/>
    <w:multiLevelType w:val="singleLevel"/>
    <w:tmpl w:val="6F57657C"/>
    <w:lvl w:ilvl="0" w:tentative="0">
      <w:start w:val="5"/>
      <w:numFmt w:val="chineseCounting"/>
      <w:suff w:val="nothing"/>
      <w:lvlText w:val="（%1）"/>
      <w:lvlJc w:val="left"/>
      <w:rPr>
        <w:rFonts w:hint="eastAsia"/>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UyMmJkMmU4MTcxMDVkMTI5N2EyOTE4MDcwMTYyZTkifQ=="/>
    <w:docVar w:name="KY_MEDREF_DOCUID" w:val="{B850C635-D232-4999-A5AB-4E2DFDBBA0CE}"/>
    <w:docVar w:name="KY_MEDREF_VERSION" w:val="3"/>
  </w:docVars>
  <w:rsids>
    <w:rsidRoot w:val="24390B29"/>
    <w:rsid w:val="00046700"/>
    <w:rsid w:val="000B352F"/>
    <w:rsid w:val="002A6441"/>
    <w:rsid w:val="00393D07"/>
    <w:rsid w:val="0043391E"/>
    <w:rsid w:val="004479B3"/>
    <w:rsid w:val="004E61A8"/>
    <w:rsid w:val="005933DA"/>
    <w:rsid w:val="005A7E7C"/>
    <w:rsid w:val="0060514B"/>
    <w:rsid w:val="00665C1D"/>
    <w:rsid w:val="006F60EF"/>
    <w:rsid w:val="00897706"/>
    <w:rsid w:val="009A4460"/>
    <w:rsid w:val="00A31329"/>
    <w:rsid w:val="00B83810"/>
    <w:rsid w:val="00BB1E32"/>
    <w:rsid w:val="00BD3761"/>
    <w:rsid w:val="00CE436A"/>
    <w:rsid w:val="00D32103"/>
    <w:rsid w:val="00D62581"/>
    <w:rsid w:val="00E352B4"/>
    <w:rsid w:val="00F05289"/>
    <w:rsid w:val="00F669CC"/>
    <w:rsid w:val="00FF146C"/>
    <w:rsid w:val="042F651B"/>
    <w:rsid w:val="04B769D7"/>
    <w:rsid w:val="04D53301"/>
    <w:rsid w:val="05530BD9"/>
    <w:rsid w:val="05CC0260"/>
    <w:rsid w:val="07D15959"/>
    <w:rsid w:val="07E32D40"/>
    <w:rsid w:val="09013F40"/>
    <w:rsid w:val="09594501"/>
    <w:rsid w:val="09A432A2"/>
    <w:rsid w:val="09C35E1E"/>
    <w:rsid w:val="0A522CFE"/>
    <w:rsid w:val="0B5A3BA9"/>
    <w:rsid w:val="0ECF0E2C"/>
    <w:rsid w:val="0FAD1102"/>
    <w:rsid w:val="10797237"/>
    <w:rsid w:val="10FE52AB"/>
    <w:rsid w:val="151B4D60"/>
    <w:rsid w:val="15FA6724"/>
    <w:rsid w:val="173D4052"/>
    <w:rsid w:val="193B49CD"/>
    <w:rsid w:val="19865256"/>
    <w:rsid w:val="1B3C4A99"/>
    <w:rsid w:val="1BAB7696"/>
    <w:rsid w:val="1DF2182F"/>
    <w:rsid w:val="1F60531F"/>
    <w:rsid w:val="1F984EAA"/>
    <w:rsid w:val="22874556"/>
    <w:rsid w:val="23067C88"/>
    <w:rsid w:val="2368207F"/>
    <w:rsid w:val="23B773CE"/>
    <w:rsid w:val="24390B29"/>
    <w:rsid w:val="244F4F26"/>
    <w:rsid w:val="245931AF"/>
    <w:rsid w:val="250922A1"/>
    <w:rsid w:val="25430E7A"/>
    <w:rsid w:val="25826736"/>
    <w:rsid w:val="27282403"/>
    <w:rsid w:val="2AB613B1"/>
    <w:rsid w:val="2B0100FD"/>
    <w:rsid w:val="2BD575BF"/>
    <w:rsid w:val="2C826E81"/>
    <w:rsid w:val="2D1759B5"/>
    <w:rsid w:val="2DD35D80"/>
    <w:rsid w:val="2DDB4C35"/>
    <w:rsid w:val="2E232138"/>
    <w:rsid w:val="2E7D3F3E"/>
    <w:rsid w:val="304C1E1A"/>
    <w:rsid w:val="331D7CA5"/>
    <w:rsid w:val="3595367F"/>
    <w:rsid w:val="37555A58"/>
    <w:rsid w:val="37957E64"/>
    <w:rsid w:val="37AC319E"/>
    <w:rsid w:val="38CE1C06"/>
    <w:rsid w:val="38F27F4A"/>
    <w:rsid w:val="3A1C1321"/>
    <w:rsid w:val="3A437CEF"/>
    <w:rsid w:val="3A471E8A"/>
    <w:rsid w:val="3AC0768C"/>
    <w:rsid w:val="3AFE01B5"/>
    <w:rsid w:val="3B7B35B3"/>
    <w:rsid w:val="3CC50F8A"/>
    <w:rsid w:val="3CD42DD4"/>
    <w:rsid w:val="3D65497F"/>
    <w:rsid w:val="3D9C6E90"/>
    <w:rsid w:val="3DF829D1"/>
    <w:rsid w:val="3E82593A"/>
    <w:rsid w:val="3F4343E8"/>
    <w:rsid w:val="4098181B"/>
    <w:rsid w:val="41701B13"/>
    <w:rsid w:val="41950E9A"/>
    <w:rsid w:val="41BB6E00"/>
    <w:rsid w:val="41BC3913"/>
    <w:rsid w:val="436A4639"/>
    <w:rsid w:val="44555B85"/>
    <w:rsid w:val="455D49F0"/>
    <w:rsid w:val="45A35010"/>
    <w:rsid w:val="466E4440"/>
    <w:rsid w:val="479555FE"/>
    <w:rsid w:val="48CB5B7A"/>
    <w:rsid w:val="4A421E6C"/>
    <w:rsid w:val="4AA574D5"/>
    <w:rsid w:val="4B076C12"/>
    <w:rsid w:val="4B35377F"/>
    <w:rsid w:val="4B644064"/>
    <w:rsid w:val="4BB31C37"/>
    <w:rsid w:val="4D7F0CE1"/>
    <w:rsid w:val="4DC66910"/>
    <w:rsid w:val="4E870795"/>
    <w:rsid w:val="4EA03605"/>
    <w:rsid w:val="504601DC"/>
    <w:rsid w:val="50A8054F"/>
    <w:rsid w:val="51473EE2"/>
    <w:rsid w:val="54641057"/>
    <w:rsid w:val="553D1BAE"/>
    <w:rsid w:val="57C245EC"/>
    <w:rsid w:val="586C6306"/>
    <w:rsid w:val="59C22105"/>
    <w:rsid w:val="5A3612C1"/>
    <w:rsid w:val="5A421A14"/>
    <w:rsid w:val="5A7122F9"/>
    <w:rsid w:val="5AEC5753"/>
    <w:rsid w:val="5B40792C"/>
    <w:rsid w:val="5B8D3163"/>
    <w:rsid w:val="5CAF730E"/>
    <w:rsid w:val="5D683FF0"/>
    <w:rsid w:val="5E457B5C"/>
    <w:rsid w:val="5EFE2E50"/>
    <w:rsid w:val="5F125536"/>
    <w:rsid w:val="61141B81"/>
    <w:rsid w:val="64A05CB5"/>
    <w:rsid w:val="64D70FAB"/>
    <w:rsid w:val="64F14763"/>
    <w:rsid w:val="659A0956"/>
    <w:rsid w:val="689D7F6A"/>
    <w:rsid w:val="68FF37AC"/>
    <w:rsid w:val="6A0960AB"/>
    <w:rsid w:val="6C3118E9"/>
    <w:rsid w:val="6C8E13E0"/>
    <w:rsid w:val="6CF56522"/>
    <w:rsid w:val="6D4C4C2C"/>
    <w:rsid w:val="6EB760D5"/>
    <w:rsid w:val="6F7D60D6"/>
    <w:rsid w:val="70A1528F"/>
    <w:rsid w:val="71E272B9"/>
    <w:rsid w:val="726D43EE"/>
    <w:rsid w:val="72EB27F1"/>
    <w:rsid w:val="76DD68F5"/>
    <w:rsid w:val="76E97F8B"/>
    <w:rsid w:val="78EC48FB"/>
    <w:rsid w:val="79F04D39"/>
    <w:rsid w:val="7A3E5CEB"/>
    <w:rsid w:val="7AD1051F"/>
    <w:rsid w:val="7B6C6499"/>
    <w:rsid w:val="7E430B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customStyle="1" w:styleId="2">
    <w:name w:val="正文首行缩进 21"/>
    <w:basedOn w:val="3"/>
    <w:qFormat/>
    <w:uiPriority w:val="0"/>
    <w:pPr>
      <w:ind w:firstLine="420" w:firstLineChars="200"/>
    </w:pPr>
  </w:style>
  <w:style w:type="paragraph" w:customStyle="1" w:styleId="3">
    <w:name w:val="Body Text Indent1"/>
    <w:basedOn w:val="1"/>
    <w:qFormat/>
    <w:uiPriority w:val="0"/>
    <w:pPr>
      <w:spacing w:after="120"/>
      <w:ind w:left="420" w:leftChars="200"/>
    </w:pPr>
    <w:rPr>
      <w:rFonts w:eastAsia="仿宋_GB2312"/>
    </w:rPr>
  </w:style>
  <w:style w:type="paragraph" w:styleId="4">
    <w:name w:val="Body Text"/>
    <w:basedOn w:val="1"/>
    <w:next w:val="1"/>
    <w:qFormat/>
    <w:uiPriority w:val="0"/>
    <w:pPr>
      <w:spacing w:after="120"/>
    </w:pPr>
  </w:style>
  <w:style w:type="paragraph" w:styleId="5">
    <w:name w:val="Body Text Indent"/>
    <w:basedOn w:val="1"/>
    <w:qFormat/>
    <w:uiPriority w:val="0"/>
    <w:pPr>
      <w:ind w:firstLine="420"/>
    </w:pPr>
    <w:rPr>
      <w:szCs w:val="20"/>
      <w:lang w:val="zh-CN"/>
    </w:rPr>
  </w:style>
  <w:style w:type="paragraph" w:styleId="6">
    <w:name w:val="Balloon Text"/>
    <w:basedOn w:val="1"/>
    <w:link w:val="12"/>
    <w:qFormat/>
    <w:uiPriority w:val="0"/>
    <w:rPr>
      <w:sz w:val="18"/>
      <w:szCs w:val="18"/>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9">
    <w:name w:val="Normal (Web)"/>
    <w:basedOn w:val="1"/>
    <w:qFormat/>
    <w:uiPriority w:val="0"/>
    <w:pPr>
      <w:spacing w:beforeAutospacing="1" w:afterAutospacing="1"/>
      <w:jc w:val="left"/>
    </w:pPr>
    <w:rPr>
      <w:rFonts w:cs="Times New Roman"/>
      <w:kern w:val="0"/>
      <w:sz w:val="24"/>
    </w:rPr>
  </w:style>
  <w:style w:type="character" w:customStyle="1" w:styleId="12">
    <w:name w:val="批注框文本 字符"/>
    <w:basedOn w:val="11"/>
    <w:link w:val="6"/>
    <w:qFormat/>
    <w:uiPriority w:val="0"/>
    <w:rPr>
      <w:rFonts w:asciiTheme="minorHAnsi" w:hAnsiTheme="minorHAnsi" w:eastAsiaTheme="minorEastAsia" w:cstheme="minorBidi"/>
      <w:kern w:val="2"/>
      <w:sz w:val="18"/>
      <w:szCs w:val="18"/>
    </w:rPr>
  </w:style>
  <w:style w:type="paragraph" w:customStyle="1" w:styleId="13">
    <w:name w:val="修订1"/>
    <w:hidden/>
    <w:semiHidden/>
    <w:qFormat/>
    <w:uiPriority w:val="99"/>
    <w:rPr>
      <w:rFonts w:asciiTheme="minorHAnsi" w:hAnsiTheme="minorHAnsi" w:eastAsiaTheme="minorEastAsia" w:cstheme="minorBidi"/>
      <w:kern w:val="2"/>
      <w:sz w:val="21"/>
      <w:szCs w:val="24"/>
      <w:lang w:val="en-US" w:eastAsia="zh-CN" w:bidi="ar-SA"/>
    </w:rPr>
  </w:style>
  <w:style w:type="paragraph" w:customStyle="1" w:styleId="14">
    <w:name w:val="列出段落1"/>
    <w:basedOn w:val="1"/>
    <w:unhideWhenUsed/>
    <w:qFormat/>
    <w:uiPriority w:val="99"/>
    <w:pPr>
      <w:ind w:firstLine="420" w:firstLineChars="200"/>
    </w:pPr>
    <w:rPr>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Organization</Company>
  <Pages>1</Pages>
  <Words>624</Words>
  <Characters>3562</Characters>
  <Lines>29</Lines>
  <Paragraphs>8</Paragraphs>
  <TotalTime>198</TotalTime>
  <ScaleCrop>false</ScaleCrop>
  <LinksUpToDate>false</LinksUpToDate>
  <CharactersWithSpaces>4178</CharactersWithSpaces>
  <Application>WPS Office_12.1.0.15066_F1E327BC-269C-435d-A152-05C5408002CA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2022-06-19T13:43:00Z</dcterms:created>
  <dc:creator>艾艾诺～</dc:creator>
  <cp:lastModifiedBy>张晓涵</cp:lastModifiedBy>
  <cp:lastPrinted>2023-07-06T01:24:00Z</cp:lastPrinted>
  <dcterms:modified xsi:type="dcterms:W3CDTF">2023-07-07T02:00:32Z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2052-12.1.0.15066</vt:lpwstr>
  </property>
  <property fmtid="{D5CDD505-2E9C-101B-9397-08002B2CF9AE}" pid="3" name="ICV">
    <vt:lpwstr>FD281717EDE94F68BEDC173FC30DD91C_13</vt:lpwstr>
  </property>
</Properties>
</file>